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E4E" w:rsidRDefault="00283E4E" w:rsidP="00557AF6">
      <w:pPr>
        <w:jc w:val="center"/>
        <w:rPr>
          <w:b/>
          <w:sz w:val="52"/>
          <w:szCs w:val="52"/>
        </w:rPr>
      </w:pPr>
    </w:p>
    <w:p w:rsidR="00E07C6D" w:rsidRDefault="00E07C6D" w:rsidP="00E07C6D">
      <w:pPr>
        <w:jc w:val="center"/>
        <w:rPr>
          <w:rFonts w:ascii="Calibri Light" w:hAnsi="Calibri Light"/>
          <w:b/>
          <w:bCs/>
          <w:sz w:val="32"/>
          <w:szCs w:val="32"/>
          <w:u w:val="single"/>
        </w:rPr>
      </w:pPr>
      <w:r>
        <w:rPr>
          <w:rFonts w:ascii="Calibri Light" w:hAnsi="Calibri Light"/>
          <w:b/>
          <w:bCs/>
          <w:sz w:val="32"/>
          <w:szCs w:val="32"/>
          <w:u w:val="single"/>
        </w:rPr>
        <w:t>Duty of Candour Report</w:t>
      </w:r>
    </w:p>
    <w:p w:rsidR="00E07C6D" w:rsidRDefault="00E07C6D" w:rsidP="00E07C6D">
      <w:pPr>
        <w:jc w:val="center"/>
        <w:rPr>
          <w:rFonts w:ascii="Calibri Light" w:hAnsi="Calibri Light"/>
          <w:b/>
          <w:bCs/>
          <w:sz w:val="32"/>
          <w:szCs w:val="32"/>
          <w:u w:val="single"/>
        </w:rPr>
      </w:pPr>
    </w:p>
    <w:p w:rsidR="00E07C6D" w:rsidRDefault="00E07C6D" w:rsidP="00E07C6D">
      <w:pPr>
        <w:jc w:val="center"/>
        <w:rPr>
          <w:rFonts w:ascii="Calibri Light" w:hAnsi="Calibri Light"/>
          <w:b/>
          <w:bCs/>
          <w:sz w:val="32"/>
          <w:szCs w:val="32"/>
          <w:u w:val="single"/>
        </w:rPr>
      </w:pPr>
    </w:p>
    <w:p w:rsidR="00E07C6D" w:rsidRDefault="00E07C6D" w:rsidP="00E07C6D">
      <w:pPr>
        <w:jc w:val="center"/>
        <w:rPr>
          <w:rFonts w:ascii="Calibri Light" w:hAnsi="Calibri Light"/>
          <w:b/>
          <w:bCs/>
          <w:sz w:val="32"/>
          <w:szCs w:val="32"/>
          <w:u w:val="single"/>
        </w:rPr>
      </w:pPr>
    </w:p>
    <w:p w:rsidR="00E07C6D" w:rsidRDefault="00E07C6D" w:rsidP="00E07C6D">
      <w:pPr>
        <w:jc w:val="center"/>
        <w:rPr>
          <w:rFonts w:ascii="Calibri Light" w:hAnsi="Calibri Light"/>
          <w:b/>
          <w:bCs/>
          <w:sz w:val="32"/>
          <w:szCs w:val="32"/>
          <w:u w:val="single"/>
        </w:rPr>
      </w:pPr>
    </w:p>
    <w:p w:rsidR="00E07C6D" w:rsidRDefault="00E07C6D" w:rsidP="00E07C6D">
      <w:pPr>
        <w:jc w:val="center"/>
        <w:rPr>
          <w:rFonts w:ascii="Calibri Light" w:hAnsi="Calibri Light"/>
          <w:b/>
          <w:bCs/>
          <w:sz w:val="32"/>
          <w:szCs w:val="32"/>
          <w:u w:val="single"/>
        </w:rPr>
      </w:pPr>
    </w:p>
    <w:p w:rsidR="00E07C6D" w:rsidRDefault="00E07C6D" w:rsidP="00E07C6D">
      <w:pPr>
        <w:jc w:val="center"/>
        <w:rPr>
          <w:rFonts w:ascii="Calibri Light" w:hAnsi="Calibri Light"/>
          <w:b/>
          <w:bCs/>
          <w:sz w:val="32"/>
          <w:szCs w:val="32"/>
          <w:u w:val="single"/>
        </w:rPr>
      </w:pPr>
      <w:r>
        <w:rPr>
          <w:rFonts w:ascii="Calibri Light" w:hAnsi="Calibri Light"/>
          <w:b/>
          <w:bCs/>
          <w:sz w:val="32"/>
          <w:szCs w:val="32"/>
          <w:u w:val="single"/>
        </w:rPr>
        <w:t>Cadzow Health Centre, 187 Low Waters Road, Hamilton. ML3 7QQ</w:t>
      </w:r>
    </w:p>
    <w:p w:rsidR="000C7555" w:rsidRDefault="000C7555" w:rsidP="00557AF6">
      <w:pPr>
        <w:jc w:val="center"/>
        <w:rPr>
          <w:b/>
          <w:sz w:val="52"/>
          <w:szCs w:val="52"/>
        </w:rPr>
      </w:pPr>
    </w:p>
    <w:p w:rsidR="00557AF6" w:rsidRDefault="00AA3502" w:rsidP="00557AF6">
      <w:pPr>
        <w:jc w:val="center"/>
        <w:rPr>
          <w:b/>
          <w:sz w:val="52"/>
          <w:szCs w:val="52"/>
        </w:rPr>
      </w:pPr>
      <w:r w:rsidRPr="00557AF6">
        <w:rPr>
          <w:b/>
          <w:sz w:val="52"/>
          <w:szCs w:val="52"/>
        </w:rPr>
        <w:t>Duty of Candour Annual Report</w:t>
      </w:r>
    </w:p>
    <w:p w:rsidR="00AA3502" w:rsidRPr="00557AF6" w:rsidRDefault="00AA3502" w:rsidP="00557AF6">
      <w:pPr>
        <w:jc w:val="center"/>
        <w:rPr>
          <w:b/>
          <w:sz w:val="52"/>
          <w:szCs w:val="52"/>
        </w:rPr>
      </w:pPr>
      <w:r w:rsidRPr="00557AF6">
        <w:rPr>
          <w:b/>
          <w:sz w:val="52"/>
          <w:szCs w:val="52"/>
        </w:rPr>
        <w:t>1st April 2018 – 31st March 2019</w:t>
      </w:r>
    </w:p>
    <w:p w:rsidR="00557AF6" w:rsidRDefault="00557AF6">
      <w:pPr>
        <w:rPr>
          <w:b/>
        </w:rPr>
      </w:pPr>
    </w:p>
    <w:p w:rsidR="00557AF6" w:rsidRDefault="00557AF6">
      <w:pPr>
        <w:rPr>
          <w:b/>
        </w:rPr>
      </w:pPr>
    </w:p>
    <w:p w:rsidR="00557AF6" w:rsidRDefault="00557AF6">
      <w:pPr>
        <w:rPr>
          <w:b/>
        </w:rPr>
      </w:pPr>
    </w:p>
    <w:p w:rsidR="00557AF6" w:rsidRDefault="00557AF6">
      <w:pPr>
        <w:rPr>
          <w:b/>
        </w:rPr>
      </w:pPr>
    </w:p>
    <w:p w:rsidR="00557AF6" w:rsidRDefault="00557AF6">
      <w:pPr>
        <w:rPr>
          <w:b/>
        </w:rPr>
      </w:pPr>
    </w:p>
    <w:p w:rsidR="00557AF6" w:rsidRDefault="00557AF6">
      <w:pPr>
        <w:rPr>
          <w:b/>
        </w:rPr>
      </w:pPr>
    </w:p>
    <w:p w:rsidR="00557AF6" w:rsidRDefault="00557AF6">
      <w:pPr>
        <w:rPr>
          <w:b/>
        </w:rPr>
      </w:pPr>
    </w:p>
    <w:p w:rsidR="00557AF6" w:rsidRDefault="00557AF6">
      <w:pPr>
        <w:rPr>
          <w:b/>
        </w:rPr>
      </w:pPr>
    </w:p>
    <w:p w:rsidR="00557AF6" w:rsidRDefault="00557AF6">
      <w:pPr>
        <w:rPr>
          <w:b/>
        </w:rPr>
      </w:pPr>
    </w:p>
    <w:p w:rsidR="00557AF6" w:rsidRDefault="00557AF6">
      <w:pPr>
        <w:rPr>
          <w:b/>
        </w:rPr>
      </w:pPr>
    </w:p>
    <w:p w:rsidR="00557AF6" w:rsidRDefault="00557AF6">
      <w:pPr>
        <w:rPr>
          <w:b/>
        </w:rPr>
      </w:pPr>
    </w:p>
    <w:p w:rsidR="00557AF6" w:rsidRDefault="00557AF6">
      <w:pPr>
        <w:rPr>
          <w:b/>
        </w:rPr>
      </w:pPr>
    </w:p>
    <w:tbl>
      <w:tblPr>
        <w:tblStyle w:val="TableGrid"/>
        <w:tblW w:w="0" w:type="auto"/>
        <w:tblLook w:val="04A0"/>
      </w:tblPr>
      <w:tblGrid>
        <w:gridCol w:w="2310"/>
        <w:gridCol w:w="2310"/>
        <w:gridCol w:w="2311"/>
        <w:gridCol w:w="2311"/>
      </w:tblGrid>
      <w:tr w:rsidR="00557AF6" w:rsidTr="00675369">
        <w:tc>
          <w:tcPr>
            <w:tcW w:w="2310" w:type="dxa"/>
            <w:tcBorders>
              <w:bottom w:val="single" w:sz="4" w:space="0" w:color="auto"/>
            </w:tcBorders>
          </w:tcPr>
          <w:p w:rsidR="00557AF6" w:rsidRDefault="00557AF6">
            <w:pPr>
              <w:rPr>
                <w:b/>
              </w:rPr>
            </w:pPr>
            <w:r>
              <w:t>Duty of Candour Lead:</w:t>
            </w:r>
          </w:p>
        </w:tc>
        <w:tc>
          <w:tcPr>
            <w:tcW w:w="2310" w:type="dxa"/>
            <w:tcBorders>
              <w:bottom w:val="single" w:sz="4" w:space="0" w:color="auto"/>
            </w:tcBorders>
          </w:tcPr>
          <w:p w:rsidR="00557AF6" w:rsidRDefault="00E07C6D">
            <w:pPr>
              <w:rPr>
                <w:b/>
              </w:rPr>
            </w:pPr>
            <w:r>
              <w:rPr>
                <w:b/>
              </w:rPr>
              <w:t>Ann Wilson, PM</w:t>
            </w:r>
          </w:p>
        </w:tc>
        <w:tc>
          <w:tcPr>
            <w:tcW w:w="2311" w:type="dxa"/>
            <w:tcBorders>
              <w:bottom w:val="single" w:sz="4" w:space="0" w:color="auto"/>
            </w:tcBorders>
          </w:tcPr>
          <w:p w:rsidR="00557AF6" w:rsidRDefault="00557AF6">
            <w:pPr>
              <w:rPr>
                <w:b/>
              </w:rPr>
            </w:pPr>
            <w:r>
              <w:rPr>
                <w:b/>
              </w:rPr>
              <w:t>Interval Review</w:t>
            </w:r>
          </w:p>
        </w:tc>
        <w:tc>
          <w:tcPr>
            <w:tcW w:w="2311" w:type="dxa"/>
            <w:tcBorders>
              <w:bottom w:val="single" w:sz="4" w:space="0" w:color="auto"/>
            </w:tcBorders>
          </w:tcPr>
          <w:p w:rsidR="00557AF6" w:rsidRDefault="00557AF6" w:rsidP="00557AF6">
            <w:pPr>
              <w:rPr>
                <w:b/>
              </w:rPr>
            </w:pPr>
            <w:r>
              <w:rPr>
                <w:b/>
              </w:rPr>
              <w:t>Year</w:t>
            </w:r>
            <w:r w:rsidR="00E07C6D">
              <w:rPr>
                <w:b/>
              </w:rPr>
              <w:t>ly or when SEA occurs</w:t>
            </w:r>
          </w:p>
        </w:tc>
      </w:tr>
      <w:tr w:rsidR="00675369" w:rsidTr="00675369">
        <w:tc>
          <w:tcPr>
            <w:tcW w:w="2310" w:type="dxa"/>
            <w:tcBorders>
              <w:top w:val="single" w:sz="4" w:space="0" w:color="auto"/>
              <w:left w:val="nil"/>
              <w:bottom w:val="nil"/>
              <w:right w:val="nil"/>
            </w:tcBorders>
          </w:tcPr>
          <w:p w:rsidR="00675369" w:rsidRDefault="00675369"/>
          <w:p w:rsidR="00675369" w:rsidRDefault="00675369"/>
          <w:p w:rsidR="00675369" w:rsidRDefault="00675369"/>
          <w:p w:rsidR="00675369" w:rsidRDefault="00675369"/>
        </w:tc>
        <w:tc>
          <w:tcPr>
            <w:tcW w:w="2310" w:type="dxa"/>
            <w:tcBorders>
              <w:top w:val="single" w:sz="4" w:space="0" w:color="auto"/>
              <w:left w:val="nil"/>
              <w:bottom w:val="nil"/>
              <w:right w:val="nil"/>
            </w:tcBorders>
          </w:tcPr>
          <w:p w:rsidR="00675369" w:rsidRDefault="00675369">
            <w:pPr>
              <w:rPr>
                <w:b/>
              </w:rPr>
            </w:pPr>
          </w:p>
        </w:tc>
        <w:tc>
          <w:tcPr>
            <w:tcW w:w="2311" w:type="dxa"/>
            <w:tcBorders>
              <w:top w:val="single" w:sz="4" w:space="0" w:color="auto"/>
              <w:left w:val="nil"/>
              <w:bottom w:val="nil"/>
              <w:right w:val="nil"/>
            </w:tcBorders>
          </w:tcPr>
          <w:p w:rsidR="00675369" w:rsidRDefault="00675369">
            <w:pPr>
              <w:rPr>
                <w:b/>
              </w:rPr>
            </w:pPr>
          </w:p>
        </w:tc>
        <w:tc>
          <w:tcPr>
            <w:tcW w:w="2311" w:type="dxa"/>
            <w:tcBorders>
              <w:top w:val="single" w:sz="4" w:space="0" w:color="auto"/>
              <w:left w:val="nil"/>
              <w:bottom w:val="nil"/>
              <w:right w:val="nil"/>
            </w:tcBorders>
          </w:tcPr>
          <w:p w:rsidR="00675369" w:rsidRDefault="00675369" w:rsidP="00557AF6">
            <w:pPr>
              <w:rPr>
                <w:b/>
              </w:rPr>
            </w:pPr>
          </w:p>
          <w:p w:rsidR="00675369" w:rsidRDefault="00675369" w:rsidP="00557AF6">
            <w:pPr>
              <w:rPr>
                <w:b/>
              </w:rPr>
            </w:pPr>
          </w:p>
          <w:p w:rsidR="00675369" w:rsidRDefault="00675369" w:rsidP="00557AF6">
            <w:pPr>
              <w:rPr>
                <w:b/>
              </w:rPr>
            </w:pPr>
          </w:p>
          <w:p w:rsidR="00675369" w:rsidRDefault="00675369" w:rsidP="00557AF6">
            <w:pPr>
              <w:rPr>
                <w:b/>
              </w:rPr>
            </w:pPr>
          </w:p>
          <w:p w:rsidR="00675369" w:rsidRDefault="00675369" w:rsidP="00557AF6">
            <w:pPr>
              <w:rPr>
                <w:b/>
              </w:rPr>
            </w:pPr>
          </w:p>
          <w:p w:rsidR="00675369" w:rsidRDefault="00675369" w:rsidP="00557AF6">
            <w:pPr>
              <w:rPr>
                <w:b/>
              </w:rPr>
            </w:pPr>
          </w:p>
          <w:p w:rsidR="00675369" w:rsidRDefault="00675369" w:rsidP="00557AF6">
            <w:pPr>
              <w:rPr>
                <w:b/>
              </w:rPr>
            </w:pPr>
          </w:p>
        </w:tc>
      </w:tr>
    </w:tbl>
    <w:p w:rsidR="000C7555" w:rsidRPr="00675369" w:rsidRDefault="00557AF6" w:rsidP="00675369">
      <w:pPr>
        <w:pStyle w:val="ListParagraph"/>
        <w:numPr>
          <w:ilvl w:val="0"/>
          <w:numId w:val="1"/>
        </w:numPr>
        <w:ind w:left="284" w:hanging="284"/>
        <w:rPr>
          <w:sz w:val="24"/>
          <w:szCs w:val="24"/>
        </w:rPr>
      </w:pPr>
      <w:r w:rsidRPr="00675369">
        <w:rPr>
          <w:b/>
          <w:sz w:val="24"/>
          <w:szCs w:val="24"/>
        </w:rPr>
        <w:lastRenderedPageBreak/>
        <w:t>Background</w:t>
      </w:r>
    </w:p>
    <w:p w:rsidR="00557AF6" w:rsidRPr="000C7555" w:rsidRDefault="00AA3502" w:rsidP="000C7555">
      <w:pPr>
        <w:rPr>
          <w:sz w:val="24"/>
          <w:szCs w:val="24"/>
        </w:rPr>
      </w:pPr>
      <w:r w:rsidRPr="000C7555">
        <w:rPr>
          <w:sz w:val="24"/>
          <w:szCs w:val="24"/>
        </w:rPr>
        <w:t xml:space="preserve">All health and social care services in Scotland have a duty of candour. This is a legal requirement, which means that when unintended or unexpected events happen that result in death or harm as defined in the Act, the people affected understand what has happened, receive an apology, and that organisations learn how to improve for the future. An important part of this duty is that we provide an annual report about how the duty of candour is implemented in our services. This report describes how </w:t>
      </w:r>
      <w:r w:rsidR="00E07C6D">
        <w:rPr>
          <w:sz w:val="24"/>
          <w:szCs w:val="24"/>
        </w:rPr>
        <w:t xml:space="preserve">Cadzow Health Centre </w:t>
      </w:r>
      <w:r w:rsidRPr="000C7555">
        <w:rPr>
          <w:sz w:val="24"/>
          <w:szCs w:val="24"/>
        </w:rPr>
        <w:t xml:space="preserve">has operated the duty of candour during the time between 1 April 2018 and 31 March 2019. We hope you find this report useful. It is worthwhile noting that </w:t>
      </w:r>
      <w:r w:rsidR="00E07C6D">
        <w:rPr>
          <w:sz w:val="24"/>
          <w:szCs w:val="24"/>
        </w:rPr>
        <w:t>Cadzow Health Centre</w:t>
      </w:r>
      <w:r w:rsidRPr="000C7555">
        <w:rPr>
          <w:sz w:val="24"/>
          <w:szCs w:val="24"/>
        </w:rPr>
        <w:t xml:space="preserve"> may often only play a small part in the patient’s full journey of care. While impact or outcomes are not always known, where opportunities for learning and improvements are identified through our </w:t>
      </w:r>
      <w:r w:rsidR="00557AF6" w:rsidRPr="000C7555">
        <w:rPr>
          <w:sz w:val="24"/>
          <w:szCs w:val="24"/>
        </w:rPr>
        <w:t xml:space="preserve">significant event process </w:t>
      </w:r>
      <w:r w:rsidRPr="000C7555">
        <w:rPr>
          <w:sz w:val="24"/>
          <w:szCs w:val="24"/>
        </w:rPr>
        <w:t xml:space="preserve">or following feedback from other health and social care services, these will be addressed. </w:t>
      </w:r>
      <w:r w:rsidR="00557AF6" w:rsidRPr="000C7555">
        <w:rPr>
          <w:sz w:val="24"/>
          <w:szCs w:val="24"/>
        </w:rPr>
        <w:br/>
      </w:r>
    </w:p>
    <w:p w:rsidR="000C7555" w:rsidRPr="000C7555" w:rsidRDefault="00AA3502" w:rsidP="000C7555">
      <w:pPr>
        <w:pStyle w:val="ListParagraph"/>
        <w:numPr>
          <w:ilvl w:val="0"/>
          <w:numId w:val="1"/>
        </w:numPr>
        <w:ind w:left="284" w:hanging="284"/>
        <w:rPr>
          <w:sz w:val="24"/>
          <w:szCs w:val="24"/>
        </w:rPr>
      </w:pPr>
      <w:r w:rsidRPr="000C7555">
        <w:rPr>
          <w:b/>
          <w:sz w:val="24"/>
          <w:szCs w:val="24"/>
        </w:rPr>
        <w:t>About</w:t>
      </w:r>
      <w:r w:rsidR="00557AF6" w:rsidRPr="000C7555">
        <w:rPr>
          <w:b/>
          <w:sz w:val="24"/>
          <w:szCs w:val="24"/>
        </w:rPr>
        <w:t xml:space="preserve"> </w:t>
      </w:r>
      <w:r w:rsidR="007866B9">
        <w:rPr>
          <w:b/>
          <w:sz w:val="24"/>
          <w:szCs w:val="24"/>
        </w:rPr>
        <w:t>the Practice</w:t>
      </w:r>
    </w:p>
    <w:p w:rsidR="009D05AD" w:rsidRPr="000C7555" w:rsidRDefault="009D05AD" w:rsidP="000C7555">
      <w:pPr>
        <w:rPr>
          <w:sz w:val="24"/>
          <w:szCs w:val="24"/>
        </w:rPr>
      </w:pPr>
      <w:r w:rsidRPr="000C7555">
        <w:rPr>
          <w:sz w:val="24"/>
          <w:szCs w:val="24"/>
        </w:rPr>
        <w:t>The practice</w:t>
      </w:r>
      <w:r w:rsidR="00557AF6" w:rsidRPr="000C7555">
        <w:rPr>
          <w:sz w:val="24"/>
          <w:szCs w:val="24"/>
        </w:rPr>
        <w:t xml:space="preserve"> is an independent contractor to Lanarkshire’s NHS board.</w:t>
      </w:r>
      <w:r w:rsidRPr="000C7555">
        <w:rPr>
          <w:sz w:val="24"/>
          <w:szCs w:val="24"/>
        </w:rPr>
        <w:t xml:space="preserve">  We provi</w:t>
      </w:r>
      <w:r w:rsidR="00E07C6D">
        <w:rPr>
          <w:sz w:val="24"/>
          <w:szCs w:val="24"/>
        </w:rPr>
        <w:t xml:space="preserve">de General Medical Services to </w:t>
      </w:r>
      <w:r w:rsidRPr="000C7555">
        <w:rPr>
          <w:sz w:val="24"/>
          <w:szCs w:val="24"/>
        </w:rPr>
        <w:t xml:space="preserve">our practice population of around </w:t>
      </w:r>
      <w:r w:rsidR="00E07C6D">
        <w:rPr>
          <w:color w:val="FF0000"/>
          <w:sz w:val="24"/>
          <w:szCs w:val="24"/>
        </w:rPr>
        <w:t>5,100</w:t>
      </w:r>
      <w:r w:rsidRPr="000C7555">
        <w:rPr>
          <w:sz w:val="24"/>
          <w:szCs w:val="24"/>
        </w:rPr>
        <w:t xml:space="preserve">, based mainly in and around </w:t>
      </w:r>
      <w:r w:rsidR="00E07C6D">
        <w:rPr>
          <w:sz w:val="24"/>
          <w:szCs w:val="24"/>
        </w:rPr>
        <w:t>Hamilton</w:t>
      </w:r>
      <w:r w:rsidRPr="000C7555">
        <w:rPr>
          <w:sz w:val="24"/>
          <w:szCs w:val="24"/>
        </w:rPr>
        <w:t>. The practice meet regularly to review significant events following any adverse incidents and where appropriate discuss the need to apply the Duty of Candour.</w:t>
      </w:r>
      <w:r w:rsidR="00557AF6" w:rsidRPr="000C7555">
        <w:rPr>
          <w:sz w:val="24"/>
          <w:szCs w:val="24"/>
        </w:rPr>
        <w:t xml:space="preserve"> </w:t>
      </w:r>
      <w:r w:rsidRPr="000C7555">
        <w:rPr>
          <w:sz w:val="24"/>
          <w:szCs w:val="24"/>
        </w:rPr>
        <w:t>This is of particular importance to not only comply with the Act but also to ensure as a training practice that our new doctors are aware of their responsibilities.</w:t>
      </w:r>
      <w:r w:rsidR="00557AF6" w:rsidRPr="000C7555">
        <w:rPr>
          <w:sz w:val="24"/>
          <w:szCs w:val="24"/>
        </w:rPr>
        <w:br/>
      </w:r>
    </w:p>
    <w:p w:rsidR="000C7555" w:rsidRPr="000C7555" w:rsidRDefault="00AA3502" w:rsidP="000C7555">
      <w:pPr>
        <w:pStyle w:val="ListParagraph"/>
        <w:numPr>
          <w:ilvl w:val="0"/>
          <w:numId w:val="1"/>
        </w:numPr>
        <w:ind w:left="284" w:hanging="284"/>
        <w:rPr>
          <w:sz w:val="24"/>
          <w:szCs w:val="24"/>
        </w:rPr>
      </w:pPr>
      <w:r w:rsidRPr="000C7555">
        <w:rPr>
          <w:b/>
          <w:sz w:val="24"/>
          <w:szCs w:val="24"/>
        </w:rPr>
        <w:t>How many incidents happened to which the Duty of Candour applies?</w:t>
      </w:r>
    </w:p>
    <w:p w:rsidR="000C7555" w:rsidRPr="000C7555" w:rsidRDefault="00AA3502" w:rsidP="000C7555">
      <w:pPr>
        <w:rPr>
          <w:sz w:val="24"/>
          <w:szCs w:val="24"/>
        </w:rPr>
      </w:pPr>
      <w:r w:rsidRPr="000C7555">
        <w:rPr>
          <w:sz w:val="24"/>
          <w:szCs w:val="24"/>
        </w:rPr>
        <w:t xml:space="preserve">Between 1 April 2018 and 31 March 2019, </w:t>
      </w:r>
      <w:r w:rsidRPr="00361AA2">
        <w:rPr>
          <w:sz w:val="24"/>
          <w:szCs w:val="24"/>
        </w:rPr>
        <w:t xml:space="preserve">there were </w:t>
      </w:r>
      <w:r w:rsidR="009D05AD" w:rsidRPr="00361AA2">
        <w:rPr>
          <w:color w:val="FF0000"/>
          <w:sz w:val="24"/>
          <w:szCs w:val="24"/>
        </w:rPr>
        <w:t>no</w:t>
      </w:r>
      <w:r w:rsidRPr="00361AA2">
        <w:rPr>
          <w:color w:val="FF0000"/>
          <w:sz w:val="24"/>
          <w:szCs w:val="24"/>
        </w:rPr>
        <w:t xml:space="preserve"> </w:t>
      </w:r>
      <w:r w:rsidRPr="00361AA2">
        <w:rPr>
          <w:sz w:val="24"/>
          <w:szCs w:val="24"/>
        </w:rPr>
        <w:t xml:space="preserve">incidents </w:t>
      </w:r>
      <w:r w:rsidRPr="000C7555">
        <w:rPr>
          <w:sz w:val="24"/>
          <w:szCs w:val="24"/>
        </w:rPr>
        <w:t>whe</w:t>
      </w:r>
      <w:r w:rsidR="009D05AD" w:rsidRPr="000C7555">
        <w:rPr>
          <w:sz w:val="24"/>
          <w:szCs w:val="24"/>
        </w:rPr>
        <w:t xml:space="preserve">re the duty of candour applied i.e. there were no incidents where </w:t>
      </w:r>
      <w:r w:rsidRPr="000C7555">
        <w:rPr>
          <w:sz w:val="24"/>
          <w:szCs w:val="24"/>
        </w:rPr>
        <w:t xml:space="preserve">all unintended or unexpected incidents that resulted in death or harm as defined in the Act and did not relate directly to the natural course of illness or an underlying condition. </w:t>
      </w:r>
      <w:r w:rsidR="009D05AD" w:rsidRPr="000C7555">
        <w:rPr>
          <w:sz w:val="24"/>
          <w:szCs w:val="24"/>
        </w:rPr>
        <w:t xml:space="preserve">Over the time period for this report we carried out </w:t>
      </w:r>
      <w:r w:rsidR="00E07C6D">
        <w:rPr>
          <w:color w:val="FF0000"/>
          <w:sz w:val="24"/>
          <w:szCs w:val="24"/>
        </w:rPr>
        <w:t>7</w:t>
      </w:r>
      <w:r w:rsidR="009D05AD" w:rsidRPr="000C7555">
        <w:rPr>
          <w:sz w:val="24"/>
          <w:szCs w:val="24"/>
        </w:rPr>
        <w:t xml:space="preserve"> Significant</w:t>
      </w:r>
      <w:r w:rsidR="000C7555" w:rsidRPr="000C7555">
        <w:rPr>
          <w:sz w:val="24"/>
          <w:szCs w:val="24"/>
        </w:rPr>
        <w:t xml:space="preserve"> Event Reviews.  </w:t>
      </w:r>
      <w:r w:rsidR="000C7555" w:rsidRPr="000C7555">
        <w:rPr>
          <w:sz w:val="24"/>
          <w:szCs w:val="24"/>
        </w:rPr>
        <w:br/>
      </w:r>
      <w:r w:rsidR="000C7555" w:rsidRPr="000C7555">
        <w:rPr>
          <w:sz w:val="24"/>
          <w:szCs w:val="24"/>
        </w:rPr>
        <w:br/>
      </w:r>
      <w:r w:rsidRPr="000C7555">
        <w:rPr>
          <w:sz w:val="24"/>
          <w:szCs w:val="24"/>
        </w:rPr>
        <w:t xml:space="preserve">Through the </w:t>
      </w:r>
      <w:r w:rsidR="000C7555" w:rsidRPr="000C7555">
        <w:rPr>
          <w:sz w:val="24"/>
          <w:szCs w:val="24"/>
        </w:rPr>
        <w:t>Significant Events Review</w:t>
      </w:r>
      <w:r w:rsidRPr="000C7555">
        <w:rPr>
          <w:sz w:val="24"/>
          <w:szCs w:val="24"/>
        </w:rPr>
        <w:t xml:space="preserve"> process, we determine if there are factors that may have caused or contributed to the event, which helps to identify duty of candour incidents. Type of unexpected or unintended incident (not related to the natural course of someone’s i</w:t>
      </w:r>
      <w:r w:rsidR="000C7555" w:rsidRPr="000C7555">
        <w:rPr>
          <w:sz w:val="24"/>
          <w:szCs w:val="24"/>
        </w:rPr>
        <w:t>llness or underlying condition).</w:t>
      </w:r>
      <w:r w:rsidR="000C7555" w:rsidRPr="000C7555">
        <w:rPr>
          <w:sz w:val="24"/>
          <w:szCs w:val="24"/>
        </w:rPr>
        <w:br/>
      </w:r>
    </w:p>
    <w:p w:rsidR="000C7555" w:rsidRDefault="00AA3502" w:rsidP="000C7555">
      <w:pPr>
        <w:pStyle w:val="ListParagraph"/>
        <w:numPr>
          <w:ilvl w:val="0"/>
          <w:numId w:val="1"/>
        </w:numPr>
        <w:ind w:left="284" w:hanging="284"/>
        <w:rPr>
          <w:sz w:val="24"/>
          <w:szCs w:val="24"/>
        </w:rPr>
      </w:pPr>
      <w:r w:rsidRPr="000C7555">
        <w:rPr>
          <w:b/>
          <w:sz w:val="24"/>
          <w:szCs w:val="24"/>
        </w:rPr>
        <w:t>Number of times this happened (between 1 April 2018 and 31 March 2019)</w:t>
      </w:r>
      <w:r w:rsidRPr="000C7555">
        <w:rPr>
          <w:sz w:val="24"/>
          <w:szCs w:val="24"/>
        </w:rPr>
        <w:t xml:space="preserve"> </w:t>
      </w:r>
      <w:r w:rsidR="000C7555">
        <w:rPr>
          <w:sz w:val="24"/>
          <w:szCs w:val="24"/>
        </w:rPr>
        <w:t xml:space="preserve"> Total = 0</w:t>
      </w:r>
      <w:r w:rsidR="000C7555">
        <w:rPr>
          <w:sz w:val="24"/>
          <w:szCs w:val="24"/>
        </w:rPr>
        <w:br/>
      </w:r>
    </w:p>
    <w:p w:rsidR="000C7555" w:rsidRDefault="00AA3502" w:rsidP="000C7555">
      <w:pPr>
        <w:pStyle w:val="ListParagraph"/>
        <w:numPr>
          <w:ilvl w:val="0"/>
          <w:numId w:val="1"/>
        </w:numPr>
        <w:ind w:left="284" w:hanging="284"/>
        <w:rPr>
          <w:sz w:val="24"/>
          <w:szCs w:val="24"/>
        </w:rPr>
      </w:pPr>
      <w:bookmarkStart w:id="0" w:name="_GoBack"/>
      <w:bookmarkEnd w:id="0"/>
      <w:r w:rsidRPr="000C7555">
        <w:rPr>
          <w:b/>
          <w:sz w:val="24"/>
          <w:szCs w:val="24"/>
        </w:rPr>
        <w:t xml:space="preserve">To what extent did </w:t>
      </w:r>
      <w:r w:rsidR="00E07C6D">
        <w:rPr>
          <w:b/>
          <w:sz w:val="24"/>
          <w:szCs w:val="24"/>
        </w:rPr>
        <w:t>Cadzow Health Centre</w:t>
      </w:r>
      <w:r w:rsidR="000C7555" w:rsidRPr="00361AA2">
        <w:rPr>
          <w:b/>
          <w:sz w:val="24"/>
          <w:szCs w:val="24"/>
        </w:rPr>
        <w:t xml:space="preserve"> </w:t>
      </w:r>
      <w:r w:rsidRPr="000C7555">
        <w:rPr>
          <w:b/>
          <w:sz w:val="24"/>
          <w:szCs w:val="24"/>
        </w:rPr>
        <w:t>follow the duty of candour procedure?</w:t>
      </w:r>
      <w:r w:rsidR="000C7555">
        <w:rPr>
          <w:b/>
          <w:sz w:val="24"/>
          <w:szCs w:val="24"/>
        </w:rPr>
        <w:t xml:space="preserve"> </w:t>
      </w:r>
      <w:r w:rsidR="000C7555">
        <w:rPr>
          <w:sz w:val="24"/>
          <w:szCs w:val="24"/>
        </w:rPr>
        <w:t>Not applicable</w:t>
      </w:r>
    </w:p>
    <w:p w:rsidR="00675369" w:rsidRPr="00675369" w:rsidRDefault="00AA3502" w:rsidP="00675369">
      <w:pPr>
        <w:rPr>
          <w:sz w:val="24"/>
          <w:szCs w:val="24"/>
        </w:rPr>
      </w:pPr>
      <w:r w:rsidRPr="00675369">
        <w:rPr>
          <w:sz w:val="24"/>
          <w:szCs w:val="24"/>
        </w:rPr>
        <w:t>If you would like further information regarding this report, plea</w:t>
      </w:r>
      <w:r w:rsidR="00675369" w:rsidRPr="00675369">
        <w:rPr>
          <w:sz w:val="24"/>
          <w:szCs w:val="24"/>
        </w:rPr>
        <w:t>se contact:</w:t>
      </w:r>
    </w:p>
    <w:p w:rsidR="00E07C6D" w:rsidRDefault="00E07C6D" w:rsidP="00675369">
      <w:pPr>
        <w:rPr>
          <w:sz w:val="24"/>
          <w:szCs w:val="24"/>
        </w:rPr>
      </w:pPr>
      <w:r>
        <w:rPr>
          <w:sz w:val="24"/>
          <w:szCs w:val="24"/>
        </w:rPr>
        <w:t xml:space="preserve">Ann Wilson, Practice Manager, Cadzow Health Centre, 187 Low Waters Road, Hamilton. ML3 7QQ </w:t>
      </w:r>
    </w:p>
    <w:p w:rsidR="009E3C71" w:rsidRPr="000C7555" w:rsidRDefault="00E07C6D" w:rsidP="00675369">
      <w:pPr>
        <w:rPr>
          <w:sz w:val="24"/>
          <w:szCs w:val="24"/>
        </w:rPr>
      </w:pPr>
      <w:r>
        <w:rPr>
          <w:sz w:val="24"/>
          <w:szCs w:val="24"/>
        </w:rPr>
        <w:t xml:space="preserve">Tel: 01698 327028 </w:t>
      </w:r>
      <w:r>
        <w:rPr>
          <w:sz w:val="24"/>
          <w:szCs w:val="24"/>
        </w:rPr>
        <w:tab/>
        <w:t xml:space="preserve">E-mail: </w:t>
      </w:r>
      <w:hyperlink r:id="rId5" w:history="1">
        <w:r w:rsidRPr="009F4C14">
          <w:rPr>
            <w:rStyle w:val="Hyperlink"/>
            <w:sz w:val="24"/>
            <w:szCs w:val="24"/>
          </w:rPr>
          <w:t>anne.wilson4@lanarkshire.scot.nhs.uk</w:t>
        </w:r>
      </w:hyperlink>
      <w:r>
        <w:rPr>
          <w:sz w:val="24"/>
          <w:szCs w:val="24"/>
        </w:rPr>
        <w:t xml:space="preserve"> </w:t>
      </w:r>
      <w:r w:rsidR="000C7555" w:rsidRPr="00675369">
        <w:rPr>
          <w:sz w:val="24"/>
          <w:szCs w:val="24"/>
        </w:rPr>
        <w:br/>
      </w:r>
    </w:p>
    <w:sectPr w:rsidR="009E3C71" w:rsidRPr="000C7555" w:rsidSect="00675369">
      <w:pgSz w:w="11906" w:h="16838"/>
      <w:pgMar w:top="709" w:right="849"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EF63AF"/>
    <w:multiLevelType w:val="multilevel"/>
    <w:tmpl w:val="AB4609B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A3502"/>
    <w:rsid w:val="000C7555"/>
    <w:rsid w:val="00161DA0"/>
    <w:rsid w:val="00283E4E"/>
    <w:rsid w:val="00361AA2"/>
    <w:rsid w:val="003B029A"/>
    <w:rsid w:val="00557AF6"/>
    <w:rsid w:val="00675369"/>
    <w:rsid w:val="007866B9"/>
    <w:rsid w:val="008F3AAB"/>
    <w:rsid w:val="009D05AD"/>
    <w:rsid w:val="009E3C71"/>
    <w:rsid w:val="00AA3502"/>
    <w:rsid w:val="00E07C6D"/>
    <w:rsid w:val="00EB2E9F"/>
    <w:rsid w:val="00ED058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D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7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7AF6"/>
    <w:pPr>
      <w:ind w:left="720"/>
      <w:contextualSpacing/>
    </w:pPr>
  </w:style>
  <w:style w:type="character" w:styleId="Hyperlink">
    <w:name w:val="Hyperlink"/>
    <w:basedOn w:val="DefaultParagraphFont"/>
    <w:uiPriority w:val="99"/>
    <w:unhideWhenUsed/>
    <w:rsid w:val="000C75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7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7AF6"/>
    <w:pPr>
      <w:ind w:left="720"/>
      <w:contextualSpacing/>
    </w:pPr>
  </w:style>
  <w:style w:type="character" w:styleId="Hyperlink">
    <w:name w:val="Hyperlink"/>
    <w:basedOn w:val="DefaultParagraphFont"/>
    <w:uiPriority w:val="99"/>
    <w:unhideWhenUsed/>
    <w:rsid w:val="000C755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ne.wilson4@lanarkshire.scot.nhs.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McGowan, Sharon - Practice manager Dr logan practice</dc:creator>
  <cp:lastModifiedBy>Windows User</cp:lastModifiedBy>
  <cp:revision>2</cp:revision>
  <dcterms:created xsi:type="dcterms:W3CDTF">2019-12-24T13:44:00Z</dcterms:created>
  <dcterms:modified xsi:type="dcterms:W3CDTF">2019-12-24T13:44:00Z</dcterms:modified>
</cp:coreProperties>
</file>